
<file path=[Content_Types].xml><?xml version="1.0" encoding="utf-8"?>
<Types xmlns="http://schemas.openxmlformats.org/package/2006/content-types">
  <Override PartName="/word/theme/themeOverride2.xml" ContentType="application/vnd.openxmlformats-officedocument.themeOverride+xml"/>
  <Override PartName="/word/theme/themeOverride1.xml" ContentType="application/vnd.openxmlformats-officedocument.themeOverrid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106A" w:rsidRDefault="002A22BB" w:rsidP="002A22BB">
      <w:pPr>
        <w:jc w:val="center"/>
        <w:rPr>
          <w:rFonts w:ascii="Arial" w:hAnsi="Arial" w:cs="Arial"/>
          <w:b/>
          <w:sz w:val="24"/>
          <w:szCs w:val="24"/>
        </w:rPr>
      </w:pPr>
      <w:r w:rsidRPr="002A22BB">
        <w:rPr>
          <w:rFonts w:ascii="Arial" w:hAnsi="Arial" w:cs="Arial"/>
          <w:b/>
          <w:sz w:val="24"/>
          <w:szCs w:val="24"/>
        </w:rPr>
        <w:t>Gráficos e Tabela</w:t>
      </w:r>
    </w:p>
    <w:p w:rsidR="002A22BB" w:rsidRDefault="002A22BB" w:rsidP="002A22BB">
      <w:pPr>
        <w:jc w:val="both"/>
        <w:rPr>
          <w:rFonts w:ascii="Arial" w:hAnsi="Arial" w:cs="Arial"/>
          <w:b/>
          <w:sz w:val="24"/>
          <w:szCs w:val="24"/>
        </w:rPr>
      </w:pPr>
    </w:p>
    <w:p w:rsidR="00C20344" w:rsidRDefault="00C20344" w:rsidP="00C20344">
      <w:pPr>
        <w:spacing w:after="0" w:line="360" w:lineRule="auto"/>
        <w:ind w:firstLine="851"/>
        <w:jc w:val="center"/>
        <w:rPr>
          <w:rFonts w:ascii="Times New Roman" w:eastAsiaTheme="minorEastAsia" w:hAnsi="Times New Roman"/>
          <w:sz w:val="24"/>
          <w:szCs w:val="24"/>
          <w:lang w:eastAsia="pt-BR"/>
        </w:rPr>
      </w:pPr>
      <w:r>
        <w:rPr>
          <w:rFonts w:ascii="Arial" w:eastAsiaTheme="minorEastAsia" w:hAnsi="Arial" w:cs="Arial"/>
          <w:b/>
          <w:sz w:val="24"/>
          <w:szCs w:val="24"/>
          <w:lang w:eastAsia="pt-BR"/>
        </w:rPr>
        <w:t xml:space="preserve">Gráfico 1 – </w:t>
      </w:r>
      <w:r>
        <w:rPr>
          <w:rFonts w:ascii="Arial" w:eastAsiaTheme="minorEastAsia" w:hAnsi="Arial" w:cs="Arial"/>
          <w:sz w:val="24"/>
          <w:szCs w:val="24"/>
          <w:lang w:eastAsia="pt-BR"/>
        </w:rPr>
        <w:t>Total de anúncios publicados na Revista Veja dos meses de Janeiro a Setembro de 2015.</w:t>
      </w:r>
      <w:r>
        <w:rPr>
          <w:rFonts w:ascii="Calibri" w:eastAsia="Calibri" w:hAnsi="Calibri" w:cs="Times New Roman"/>
          <w:noProof/>
          <w:lang w:eastAsia="pt-BR"/>
        </w:rPr>
        <w:drawing>
          <wp:inline distT="0" distB="0" distL="0" distR="0">
            <wp:extent cx="5305425" cy="2993390"/>
            <wp:effectExtent l="0" t="0" r="0" b="0"/>
            <wp:docPr id="2" name="Grá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C20344" w:rsidRDefault="00C20344" w:rsidP="00C20344">
      <w:pPr>
        <w:ind w:firstLine="708"/>
        <w:rPr>
          <w:rFonts w:ascii="Arial" w:eastAsiaTheme="minorEastAsia" w:hAnsi="Arial" w:cs="Arial"/>
          <w:sz w:val="20"/>
          <w:szCs w:val="20"/>
          <w:lang w:eastAsia="pt-BR"/>
        </w:rPr>
      </w:pPr>
      <w:r>
        <w:rPr>
          <w:rFonts w:ascii="Arial" w:eastAsiaTheme="minorEastAsia" w:hAnsi="Arial" w:cs="Arial"/>
          <w:b/>
          <w:sz w:val="20"/>
          <w:szCs w:val="20"/>
          <w:lang w:eastAsia="pt-BR"/>
        </w:rPr>
        <w:t>Fonte:</w:t>
      </w:r>
      <w:r>
        <w:rPr>
          <w:rFonts w:ascii="Arial" w:eastAsiaTheme="minorEastAsia" w:hAnsi="Arial" w:cs="Arial"/>
          <w:sz w:val="20"/>
          <w:szCs w:val="20"/>
          <w:lang w:eastAsia="pt-BR"/>
        </w:rPr>
        <w:t xml:space="preserve"> Dados coletados pelas pesquisadoras (2015).</w:t>
      </w:r>
    </w:p>
    <w:p w:rsidR="00C20344" w:rsidRDefault="00C20344" w:rsidP="00C20344">
      <w:pPr>
        <w:spacing w:after="0" w:line="360" w:lineRule="auto"/>
        <w:jc w:val="center"/>
        <w:rPr>
          <w:rFonts w:ascii="Arial" w:eastAsiaTheme="minorEastAsia" w:hAnsi="Arial" w:cs="Arial"/>
          <w:b/>
          <w:sz w:val="24"/>
          <w:szCs w:val="24"/>
          <w:lang w:eastAsia="pt-BR"/>
        </w:rPr>
      </w:pPr>
    </w:p>
    <w:p w:rsidR="00C20344" w:rsidRDefault="00C20344" w:rsidP="00C20344">
      <w:pPr>
        <w:spacing w:after="0" w:line="360" w:lineRule="auto"/>
        <w:jc w:val="center"/>
        <w:rPr>
          <w:rFonts w:ascii="Arial" w:eastAsiaTheme="minorEastAsia" w:hAnsi="Arial" w:cs="Arial"/>
          <w:sz w:val="24"/>
          <w:szCs w:val="24"/>
          <w:lang w:eastAsia="pt-BR"/>
        </w:rPr>
      </w:pPr>
      <w:r>
        <w:rPr>
          <w:rFonts w:ascii="Arial" w:eastAsiaTheme="minorEastAsia" w:hAnsi="Arial" w:cs="Arial"/>
          <w:b/>
          <w:sz w:val="24"/>
          <w:szCs w:val="24"/>
          <w:lang w:eastAsia="pt-BR"/>
        </w:rPr>
        <w:t xml:space="preserve">Tabela 1 – </w:t>
      </w:r>
      <w:r>
        <w:rPr>
          <w:rFonts w:ascii="Arial" w:eastAsiaTheme="minorEastAsia" w:hAnsi="Arial" w:cs="Arial"/>
          <w:sz w:val="24"/>
          <w:szCs w:val="24"/>
          <w:lang w:eastAsia="pt-BR"/>
        </w:rPr>
        <w:t xml:space="preserve">Categorização e porcentagem dos anúncios publicados na Revista </w:t>
      </w:r>
      <w:proofErr w:type="gramStart"/>
      <w:r>
        <w:rPr>
          <w:rFonts w:ascii="Arial" w:eastAsiaTheme="minorEastAsia" w:hAnsi="Arial" w:cs="Arial"/>
          <w:sz w:val="24"/>
          <w:szCs w:val="24"/>
          <w:lang w:eastAsia="pt-BR"/>
        </w:rPr>
        <w:t>Veja</w:t>
      </w:r>
      <w:proofErr w:type="gramEnd"/>
      <w:r>
        <w:rPr>
          <w:rFonts w:ascii="Arial" w:eastAsiaTheme="minorEastAsia" w:hAnsi="Arial" w:cs="Arial"/>
          <w:sz w:val="24"/>
          <w:szCs w:val="24"/>
          <w:lang w:eastAsia="pt-BR"/>
        </w:rPr>
        <w:t xml:space="preserve"> dos meses de Janeiro a Setembro de 2015 que enfatizam a imagem feminina.</w:t>
      </w:r>
    </w:p>
    <w:tbl>
      <w:tblPr>
        <w:tblW w:w="9075" w:type="dxa"/>
        <w:tblInd w:w="70" w:type="dxa"/>
        <w:tblBorders>
          <w:top w:val="single" w:sz="8" w:space="0" w:color="auto"/>
          <w:bottom w:val="single" w:sz="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632"/>
        <w:gridCol w:w="689"/>
        <w:gridCol w:w="790"/>
        <w:gridCol w:w="790"/>
        <w:gridCol w:w="740"/>
        <w:gridCol w:w="790"/>
        <w:gridCol w:w="740"/>
        <w:gridCol w:w="740"/>
        <w:gridCol w:w="790"/>
        <w:gridCol w:w="666"/>
        <w:gridCol w:w="708"/>
      </w:tblGrid>
      <w:tr w:rsidR="00C20344" w:rsidTr="00C20344">
        <w:trPr>
          <w:trHeight w:val="385"/>
        </w:trPr>
        <w:tc>
          <w:tcPr>
            <w:tcW w:w="163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20344" w:rsidRDefault="00C20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pt-BR"/>
              </w:rPr>
              <w:t>Categorias/Meses</w:t>
            </w:r>
          </w:p>
        </w:tc>
        <w:tc>
          <w:tcPr>
            <w:tcW w:w="6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44" w:rsidRDefault="00C20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  <w:t>Jan</w:t>
            </w:r>
          </w:p>
        </w:tc>
        <w:tc>
          <w:tcPr>
            <w:tcW w:w="79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44" w:rsidRDefault="00C20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  <w:t>Fev</w:t>
            </w:r>
          </w:p>
        </w:tc>
        <w:tc>
          <w:tcPr>
            <w:tcW w:w="79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44" w:rsidRDefault="00C20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  <w:t>Mar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44" w:rsidRDefault="00C20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  <w:t>Abr</w:t>
            </w:r>
          </w:p>
        </w:tc>
        <w:tc>
          <w:tcPr>
            <w:tcW w:w="79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44" w:rsidRDefault="00C20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  <w:t>Mai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44" w:rsidRDefault="00C20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  <w:t>Jun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44" w:rsidRDefault="00C20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  <w:t>Jul</w:t>
            </w:r>
          </w:p>
        </w:tc>
        <w:tc>
          <w:tcPr>
            <w:tcW w:w="79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44" w:rsidRDefault="00C20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  <w:t>Ago</w:t>
            </w:r>
          </w:p>
        </w:tc>
        <w:tc>
          <w:tcPr>
            <w:tcW w:w="66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44" w:rsidRDefault="00C20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  <w:t>Set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20344" w:rsidRDefault="00C203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  <w:t>Total</w:t>
            </w:r>
          </w:p>
          <w:p w:rsidR="00C20344" w:rsidRDefault="00C20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  <w:t>(%)</w:t>
            </w:r>
          </w:p>
        </w:tc>
      </w:tr>
      <w:tr w:rsidR="00C20344" w:rsidTr="00C20344">
        <w:trPr>
          <w:trHeight w:val="339"/>
        </w:trPr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20344" w:rsidRDefault="00C203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  <w:t>Alimentos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44" w:rsidRDefault="00C203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1</w:t>
            </w:r>
            <w:proofErr w:type="gramEnd"/>
          </w:p>
          <w:p w:rsidR="00C20344" w:rsidRDefault="00C20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(14%)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44" w:rsidRDefault="00C203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4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 </w:t>
            </w:r>
          </w:p>
          <w:p w:rsidR="00C20344" w:rsidRDefault="00C20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(30%)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44" w:rsidRDefault="00C203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2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 </w:t>
            </w:r>
          </w:p>
          <w:p w:rsidR="00C20344" w:rsidRDefault="00C20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(11%)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44" w:rsidRDefault="00C203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5</w:t>
            </w:r>
            <w:proofErr w:type="gramEnd"/>
          </w:p>
          <w:p w:rsidR="00C20344" w:rsidRDefault="00C20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(10%)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44" w:rsidRDefault="00C203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3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 </w:t>
            </w:r>
          </w:p>
          <w:p w:rsidR="00C20344" w:rsidRDefault="00C20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(13%)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44" w:rsidRDefault="00C203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10</w:t>
            </w:r>
          </w:p>
          <w:p w:rsidR="00C20344" w:rsidRDefault="00C20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(29%)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44" w:rsidRDefault="00C203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7</w:t>
            </w:r>
            <w:proofErr w:type="gramEnd"/>
          </w:p>
          <w:p w:rsidR="00C20344" w:rsidRDefault="00C20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 33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%)</w:t>
            </w:r>
            <w:proofErr w:type="gramEnd"/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44" w:rsidRDefault="00C203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7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 </w:t>
            </w:r>
          </w:p>
          <w:p w:rsidR="00C20344" w:rsidRDefault="00C20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(25%)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44" w:rsidRDefault="00C203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8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 </w:t>
            </w:r>
          </w:p>
          <w:p w:rsidR="00C20344" w:rsidRDefault="00C20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(18%)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20344" w:rsidRDefault="00C20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19%</w:t>
            </w:r>
          </w:p>
        </w:tc>
      </w:tr>
      <w:tr w:rsidR="00C20344" w:rsidTr="00C20344">
        <w:trPr>
          <w:trHeight w:val="370"/>
        </w:trPr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20344" w:rsidRDefault="00C203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  <w:t>Automóveis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44" w:rsidRDefault="00C20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44" w:rsidRDefault="00C203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1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 </w:t>
            </w:r>
          </w:p>
          <w:p w:rsidR="00C20344" w:rsidRDefault="00C20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(7%)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44" w:rsidRDefault="00C20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44" w:rsidRDefault="00C203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3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 </w:t>
            </w:r>
          </w:p>
          <w:p w:rsidR="00C20344" w:rsidRDefault="00C20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(6%)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44" w:rsidRDefault="00C203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2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 </w:t>
            </w:r>
          </w:p>
          <w:p w:rsidR="00C20344" w:rsidRDefault="00C20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(9%)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44" w:rsidRDefault="00C203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1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 </w:t>
            </w:r>
          </w:p>
          <w:p w:rsidR="00C20344" w:rsidRDefault="00C20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(2%)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44" w:rsidRDefault="00C203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1</w:t>
            </w:r>
            <w:proofErr w:type="gramEnd"/>
          </w:p>
          <w:p w:rsidR="00C20344" w:rsidRDefault="00C20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 (4%)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44" w:rsidRDefault="00C20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44" w:rsidRDefault="00C203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2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 </w:t>
            </w:r>
          </w:p>
          <w:p w:rsidR="00C20344" w:rsidRDefault="00C20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(4%)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20344" w:rsidRDefault="00C20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4%</w:t>
            </w:r>
          </w:p>
        </w:tc>
      </w:tr>
      <w:tr w:rsidR="00C20344" w:rsidTr="00C20344">
        <w:trPr>
          <w:trHeight w:val="385"/>
        </w:trPr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20344" w:rsidRDefault="00C203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  <w:t>Moda e Produtos de beleza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44" w:rsidRDefault="00C203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2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 </w:t>
            </w:r>
          </w:p>
          <w:p w:rsidR="00C20344" w:rsidRDefault="00C20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(28%)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44" w:rsidRDefault="00C203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4</w:t>
            </w:r>
            <w:proofErr w:type="gramEnd"/>
          </w:p>
          <w:p w:rsidR="00C20344" w:rsidRDefault="00C20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 (30%)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44" w:rsidRDefault="00C203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9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 </w:t>
            </w:r>
          </w:p>
          <w:p w:rsidR="00C20344" w:rsidRDefault="00C20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(50%)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44" w:rsidRDefault="00C203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26</w:t>
            </w:r>
          </w:p>
          <w:p w:rsidR="00C20344" w:rsidRDefault="00C20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(52%)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44" w:rsidRDefault="00C203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11</w:t>
            </w:r>
          </w:p>
          <w:p w:rsidR="00C20344" w:rsidRDefault="00C20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 (50%)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44" w:rsidRDefault="00C203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14</w:t>
            </w:r>
          </w:p>
          <w:p w:rsidR="00C20344" w:rsidRDefault="00C20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(41%)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44" w:rsidRDefault="00C203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4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 </w:t>
            </w:r>
          </w:p>
          <w:p w:rsidR="00C20344" w:rsidRDefault="00C20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(19%)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44" w:rsidRDefault="00C203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8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 </w:t>
            </w:r>
          </w:p>
          <w:p w:rsidR="00C20344" w:rsidRDefault="00C20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(29%)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44" w:rsidRDefault="00C203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14 </w:t>
            </w:r>
          </w:p>
          <w:p w:rsidR="00C20344" w:rsidRDefault="00C20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(31%)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20344" w:rsidRDefault="00C20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38%</w:t>
            </w:r>
          </w:p>
        </w:tc>
      </w:tr>
      <w:tr w:rsidR="00C20344" w:rsidTr="00C20344">
        <w:trPr>
          <w:trHeight w:val="385"/>
        </w:trPr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20344" w:rsidRDefault="00C203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  <w:t>Economia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44" w:rsidRDefault="00C203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1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 </w:t>
            </w:r>
          </w:p>
          <w:p w:rsidR="00C20344" w:rsidRDefault="00C20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(14%)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44" w:rsidRDefault="00C203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2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 </w:t>
            </w:r>
          </w:p>
          <w:p w:rsidR="00C20344" w:rsidRDefault="00C20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(15%)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44" w:rsidRDefault="00C203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2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 </w:t>
            </w:r>
          </w:p>
          <w:p w:rsidR="00C20344" w:rsidRDefault="00C20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(11%)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44" w:rsidRDefault="00C203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3</w:t>
            </w:r>
            <w:proofErr w:type="gramEnd"/>
          </w:p>
          <w:p w:rsidR="00C20344" w:rsidRDefault="00C20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 (6%)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44" w:rsidRDefault="00C203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2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 </w:t>
            </w:r>
          </w:p>
          <w:p w:rsidR="00C20344" w:rsidRDefault="00C20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(9%)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44" w:rsidRDefault="00C203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2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 </w:t>
            </w:r>
          </w:p>
          <w:p w:rsidR="00C20344" w:rsidRDefault="00C20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(5%)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44" w:rsidRDefault="00C203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3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 </w:t>
            </w:r>
          </w:p>
          <w:p w:rsidR="00C20344" w:rsidRDefault="00C20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(14%)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44" w:rsidRDefault="00C203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4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 </w:t>
            </w:r>
          </w:p>
          <w:p w:rsidR="00C20344" w:rsidRDefault="00C20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(14%)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44" w:rsidRDefault="00C203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5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 </w:t>
            </w:r>
          </w:p>
          <w:p w:rsidR="00C20344" w:rsidRDefault="00C20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(11%)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20344" w:rsidRDefault="00C20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10%</w:t>
            </w:r>
          </w:p>
        </w:tc>
      </w:tr>
      <w:tr w:rsidR="00C20344" w:rsidTr="00C20344">
        <w:trPr>
          <w:trHeight w:val="324"/>
        </w:trPr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20344" w:rsidRDefault="00C203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  <w:t>Saúde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44" w:rsidRDefault="00C203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2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 </w:t>
            </w:r>
          </w:p>
          <w:p w:rsidR="00C20344" w:rsidRDefault="00C20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(28%)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44" w:rsidRDefault="00C203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1</w:t>
            </w:r>
            <w:proofErr w:type="gramEnd"/>
          </w:p>
          <w:p w:rsidR="00C20344" w:rsidRDefault="00C20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 (7%)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44" w:rsidRDefault="00C203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2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 </w:t>
            </w:r>
          </w:p>
          <w:p w:rsidR="00C20344" w:rsidRDefault="00C20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(11%)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44" w:rsidRDefault="00C203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3</w:t>
            </w:r>
            <w:proofErr w:type="gramEnd"/>
          </w:p>
          <w:p w:rsidR="00C20344" w:rsidRDefault="00C20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 (6%)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44" w:rsidRDefault="00C203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3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 </w:t>
            </w:r>
          </w:p>
          <w:p w:rsidR="00C20344" w:rsidRDefault="00C20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(13%)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44" w:rsidRDefault="00C203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2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 </w:t>
            </w:r>
          </w:p>
          <w:p w:rsidR="00C20344" w:rsidRDefault="00C20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(5%)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44" w:rsidRDefault="00C203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3</w:t>
            </w:r>
            <w:proofErr w:type="gramEnd"/>
          </w:p>
          <w:p w:rsidR="00C20344" w:rsidRDefault="00C20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(14%)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44" w:rsidRDefault="00C20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44" w:rsidRDefault="00C203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2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 </w:t>
            </w:r>
          </w:p>
          <w:p w:rsidR="00C20344" w:rsidRDefault="00C20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(4%)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20344" w:rsidRDefault="00C20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7%</w:t>
            </w:r>
          </w:p>
        </w:tc>
      </w:tr>
      <w:tr w:rsidR="00C20344" w:rsidTr="00C20344">
        <w:trPr>
          <w:trHeight w:val="324"/>
        </w:trPr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20344" w:rsidRDefault="00C203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  <w:t>Turismo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44" w:rsidRDefault="00C20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44" w:rsidRDefault="00C20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44" w:rsidRDefault="00C20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44" w:rsidRDefault="00C203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7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 </w:t>
            </w:r>
          </w:p>
          <w:p w:rsidR="00C20344" w:rsidRDefault="00C20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(14%)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44" w:rsidRDefault="00C203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1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 </w:t>
            </w:r>
          </w:p>
          <w:p w:rsidR="00C20344" w:rsidRDefault="00C20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(4%)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44" w:rsidRDefault="00C203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2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 </w:t>
            </w:r>
          </w:p>
          <w:p w:rsidR="00C20344" w:rsidRDefault="00C20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(5%)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44" w:rsidRDefault="00C20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44" w:rsidRDefault="00C203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1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 </w:t>
            </w:r>
          </w:p>
          <w:p w:rsidR="00C20344" w:rsidRDefault="00C20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(3%)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44" w:rsidRDefault="00C203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4</w:t>
            </w:r>
            <w:proofErr w:type="gramEnd"/>
          </w:p>
          <w:p w:rsidR="00C20344" w:rsidRDefault="00C20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 (9%)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20344" w:rsidRDefault="00C20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6%</w:t>
            </w:r>
          </w:p>
        </w:tc>
      </w:tr>
      <w:tr w:rsidR="00C20344" w:rsidTr="00C20344">
        <w:trPr>
          <w:trHeight w:val="354"/>
        </w:trPr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20344" w:rsidRDefault="00C203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  <w:t>Móveis e eletrodomésticos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44" w:rsidRDefault="00C20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44" w:rsidRDefault="00C20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44" w:rsidRDefault="00C20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44" w:rsidRDefault="00C203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1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 </w:t>
            </w:r>
          </w:p>
          <w:p w:rsidR="00C20344" w:rsidRDefault="00C20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(2%)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44" w:rsidRDefault="00C20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44" w:rsidRDefault="00C203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2</w:t>
            </w:r>
            <w:proofErr w:type="gramEnd"/>
          </w:p>
          <w:p w:rsidR="00C20344" w:rsidRDefault="00C20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 (5%)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44" w:rsidRDefault="00C203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1</w:t>
            </w:r>
            <w:proofErr w:type="gramEnd"/>
          </w:p>
          <w:p w:rsidR="00C20344" w:rsidRDefault="00C20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 (4%)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44" w:rsidRDefault="00C203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4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 </w:t>
            </w:r>
          </w:p>
          <w:p w:rsidR="00C20344" w:rsidRDefault="00C20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(14%)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44" w:rsidRDefault="00C20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6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 (13%)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20344" w:rsidRDefault="00C20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5%</w:t>
            </w:r>
          </w:p>
        </w:tc>
      </w:tr>
      <w:tr w:rsidR="00C20344" w:rsidTr="00C20344">
        <w:trPr>
          <w:trHeight w:val="324"/>
        </w:trPr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20344" w:rsidRDefault="00C203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  <w:t>Outros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44" w:rsidRDefault="00C203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1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 </w:t>
            </w:r>
          </w:p>
          <w:p w:rsidR="00C20344" w:rsidRDefault="00C20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(14%)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44" w:rsidRDefault="00C203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1</w:t>
            </w:r>
            <w:proofErr w:type="gramEnd"/>
          </w:p>
          <w:p w:rsidR="00C20344" w:rsidRDefault="00C20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(7%)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44" w:rsidRDefault="00C203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3</w:t>
            </w:r>
            <w:proofErr w:type="gramEnd"/>
          </w:p>
          <w:p w:rsidR="00C20344" w:rsidRDefault="00C20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 (16%)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44" w:rsidRDefault="00C203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2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 </w:t>
            </w:r>
          </w:p>
          <w:p w:rsidR="00C20344" w:rsidRDefault="00C20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(4%)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44" w:rsidRDefault="00C20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44" w:rsidRDefault="00C203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1</w:t>
            </w:r>
            <w:proofErr w:type="gramEnd"/>
          </w:p>
          <w:p w:rsidR="00C20344" w:rsidRDefault="00C20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 (2%)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44" w:rsidRDefault="00C203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2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 </w:t>
            </w:r>
          </w:p>
          <w:p w:rsidR="00C20344" w:rsidRDefault="00C20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(9%)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44" w:rsidRDefault="00C203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3</w:t>
            </w:r>
            <w:proofErr w:type="gramEnd"/>
          </w:p>
          <w:p w:rsidR="00C20344" w:rsidRDefault="00C20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 (11%)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44" w:rsidRDefault="00C203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3</w:t>
            </w:r>
            <w:proofErr w:type="gramEnd"/>
          </w:p>
          <w:p w:rsidR="00C20344" w:rsidRDefault="00C20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 (6%)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20344" w:rsidRDefault="00C20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6%</w:t>
            </w:r>
          </w:p>
        </w:tc>
      </w:tr>
      <w:tr w:rsidR="00C20344" w:rsidTr="00C20344">
        <w:trPr>
          <w:trHeight w:val="324"/>
        </w:trPr>
        <w:tc>
          <w:tcPr>
            <w:tcW w:w="163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C20344" w:rsidRDefault="00C203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  <w:t>TOTAL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C20344" w:rsidRDefault="00C20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  <w:t>7</w:t>
            </w:r>
            <w:proofErr w:type="gramEnd"/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C20344" w:rsidRDefault="00C20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  <w:t>13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C20344" w:rsidRDefault="00C20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  <w:t>18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C20344" w:rsidRDefault="00C20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  <w:t>50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C20344" w:rsidRDefault="00C20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  <w:t>22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C20344" w:rsidRDefault="00C20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  <w:t>34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C20344" w:rsidRDefault="00C20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  <w:t>21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C20344" w:rsidRDefault="00C20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  <w:t>27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C20344" w:rsidRDefault="00C20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  <w:t>44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hideMark/>
          </w:tcPr>
          <w:p w:rsidR="00C20344" w:rsidRDefault="00C20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  <w:t>236</w:t>
            </w:r>
          </w:p>
        </w:tc>
      </w:tr>
    </w:tbl>
    <w:p w:rsidR="00C20344" w:rsidRDefault="00C20344" w:rsidP="00C20344">
      <w:pPr>
        <w:ind w:left="-709" w:firstLine="709"/>
        <w:jc w:val="both"/>
        <w:rPr>
          <w:rFonts w:ascii="Arial" w:eastAsiaTheme="minorEastAsia" w:hAnsi="Arial" w:cs="Arial"/>
          <w:sz w:val="20"/>
          <w:szCs w:val="20"/>
          <w:lang w:eastAsia="pt-BR"/>
        </w:rPr>
      </w:pPr>
      <w:r>
        <w:rPr>
          <w:rFonts w:ascii="Arial" w:eastAsiaTheme="minorEastAsia" w:hAnsi="Arial" w:cs="Arial"/>
          <w:b/>
          <w:sz w:val="20"/>
          <w:szCs w:val="20"/>
          <w:lang w:eastAsia="pt-BR"/>
        </w:rPr>
        <w:t>Fonte:</w:t>
      </w:r>
      <w:r>
        <w:rPr>
          <w:rFonts w:ascii="Arial" w:eastAsiaTheme="minorEastAsia" w:hAnsi="Arial" w:cs="Arial"/>
          <w:sz w:val="20"/>
          <w:szCs w:val="20"/>
          <w:lang w:eastAsia="pt-BR"/>
        </w:rPr>
        <w:t xml:space="preserve"> Dados coletados pelas pesquisadoras (2015).</w:t>
      </w:r>
    </w:p>
    <w:p w:rsidR="00C20344" w:rsidRDefault="00C20344" w:rsidP="00C20344">
      <w:pPr>
        <w:spacing w:after="0" w:line="360" w:lineRule="auto"/>
        <w:ind w:firstLine="851"/>
        <w:jc w:val="center"/>
        <w:rPr>
          <w:rFonts w:ascii="Arial" w:eastAsiaTheme="minorEastAsia" w:hAnsi="Arial" w:cs="Arial"/>
          <w:sz w:val="24"/>
          <w:szCs w:val="24"/>
          <w:lang w:eastAsia="pt-BR"/>
        </w:rPr>
      </w:pPr>
      <w:r>
        <w:rPr>
          <w:rFonts w:ascii="Arial" w:eastAsiaTheme="minorEastAsia" w:hAnsi="Arial" w:cs="Arial"/>
          <w:b/>
          <w:sz w:val="24"/>
          <w:szCs w:val="24"/>
          <w:lang w:eastAsia="pt-BR"/>
        </w:rPr>
        <w:lastRenderedPageBreak/>
        <w:t xml:space="preserve">Gráfico 2 – </w:t>
      </w:r>
      <w:r>
        <w:rPr>
          <w:rFonts w:ascii="Arial" w:eastAsiaTheme="minorEastAsia" w:hAnsi="Arial" w:cs="Arial"/>
          <w:sz w:val="24"/>
          <w:szCs w:val="24"/>
          <w:lang w:eastAsia="pt-BR"/>
        </w:rPr>
        <w:t>Percentual de anúncios publicados na Revista Veja de janeiro a setembro de 2015 que exploram a imagem corporal da mulher.</w:t>
      </w:r>
    </w:p>
    <w:p w:rsidR="00C20344" w:rsidRDefault="00C20344" w:rsidP="00C20344">
      <w:pPr>
        <w:spacing w:after="0" w:line="360" w:lineRule="auto"/>
        <w:ind w:firstLine="851"/>
        <w:jc w:val="center"/>
        <w:rPr>
          <w:rFonts w:ascii="Arial" w:eastAsiaTheme="minorEastAsia" w:hAnsi="Arial" w:cs="Arial"/>
          <w:sz w:val="24"/>
          <w:szCs w:val="24"/>
          <w:lang w:eastAsia="pt-BR"/>
        </w:rPr>
      </w:pPr>
      <w:r>
        <w:rPr>
          <w:rFonts w:ascii="Calibri" w:eastAsia="Calibri" w:hAnsi="Calibri" w:cs="Times New Roman"/>
          <w:noProof/>
          <w:lang w:eastAsia="pt-BR"/>
        </w:rPr>
        <w:drawing>
          <wp:inline distT="0" distB="0" distL="0" distR="0">
            <wp:extent cx="3226435" cy="1906270"/>
            <wp:effectExtent l="0" t="0" r="0" b="0"/>
            <wp:docPr id="6" name="Gráfico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C20344" w:rsidRDefault="00C20344" w:rsidP="00C20344">
      <w:pPr>
        <w:spacing w:after="0" w:line="360" w:lineRule="auto"/>
        <w:ind w:firstLine="851"/>
        <w:rPr>
          <w:rFonts w:ascii="Arial" w:eastAsiaTheme="minorEastAsia" w:hAnsi="Arial" w:cs="Arial"/>
          <w:sz w:val="20"/>
          <w:szCs w:val="20"/>
          <w:lang w:eastAsia="pt-BR"/>
        </w:rPr>
      </w:pPr>
      <w:r>
        <w:rPr>
          <w:rFonts w:ascii="Arial" w:eastAsiaTheme="minorEastAsia" w:hAnsi="Arial" w:cs="Arial"/>
          <w:b/>
          <w:sz w:val="20"/>
          <w:szCs w:val="20"/>
          <w:lang w:eastAsia="pt-BR"/>
        </w:rPr>
        <w:t>Fonte:</w:t>
      </w:r>
      <w:r>
        <w:rPr>
          <w:rFonts w:ascii="Arial" w:eastAsiaTheme="minorEastAsia" w:hAnsi="Arial" w:cs="Arial"/>
          <w:sz w:val="20"/>
          <w:szCs w:val="20"/>
          <w:lang w:eastAsia="pt-BR"/>
        </w:rPr>
        <w:t xml:space="preserve"> Dados coletados pelas pesquisadoras (2015).</w:t>
      </w:r>
    </w:p>
    <w:p w:rsidR="00C20344" w:rsidRDefault="00C20344" w:rsidP="00C20344">
      <w:pPr>
        <w:ind w:left="-709" w:firstLine="709"/>
        <w:jc w:val="both"/>
        <w:rPr>
          <w:rFonts w:ascii="Arial" w:eastAsiaTheme="minorEastAsia" w:hAnsi="Arial" w:cs="Arial"/>
          <w:sz w:val="20"/>
          <w:szCs w:val="20"/>
          <w:lang w:eastAsia="pt-BR"/>
        </w:rPr>
      </w:pPr>
    </w:p>
    <w:p w:rsidR="002A22BB" w:rsidRPr="002A22BB" w:rsidRDefault="002A22BB" w:rsidP="002A22BB">
      <w:pPr>
        <w:jc w:val="both"/>
        <w:rPr>
          <w:rFonts w:ascii="Arial" w:hAnsi="Arial" w:cs="Arial"/>
          <w:b/>
          <w:sz w:val="24"/>
          <w:szCs w:val="24"/>
        </w:rPr>
      </w:pPr>
    </w:p>
    <w:sectPr w:rsidR="002A22BB" w:rsidRPr="002A22BB" w:rsidSect="0064106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2A22BB"/>
    <w:rsid w:val="002A22BB"/>
    <w:rsid w:val="0064106A"/>
    <w:rsid w:val="00C203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106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183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2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2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2.xlsx"/><Relationship Id="rId1" Type="http://schemas.openxmlformats.org/officeDocument/2006/relationships/themeOverride" Target="../theme/themeOverrid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pt-BR"/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Plan1!$B$1</c:f>
              <c:strCache>
                <c:ptCount val="1"/>
                <c:pt idx="0">
                  <c:v>TotaL de anúncios geral</c:v>
                </c:pt>
              </c:strCache>
            </c:strRef>
          </c:tx>
          <c:cat>
            <c:strRef>
              <c:f>Plan1!$A$2:$A$10</c:f>
              <c:strCache>
                <c:ptCount val="9"/>
                <c:pt idx="0">
                  <c:v>Janeiro</c:v>
                </c:pt>
                <c:pt idx="1">
                  <c:v>Fevereiro</c:v>
                </c:pt>
                <c:pt idx="2">
                  <c:v>Março</c:v>
                </c:pt>
                <c:pt idx="3">
                  <c:v>Abril</c:v>
                </c:pt>
                <c:pt idx="4">
                  <c:v>Maio</c:v>
                </c:pt>
                <c:pt idx="5">
                  <c:v>Junho</c:v>
                </c:pt>
                <c:pt idx="6">
                  <c:v>Julho</c:v>
                </c:pt>
                <c:pt idx="7">
                  <c:v>Agosto</c:v>
                </c:pt>
                <c:pt idx="8">
                  <c:v>Setembro</c:v>
                </c:pt>
              </c:strCache>
            </c:strRef>
          </c:cat>
          <c:val>
            <c:numRef>
              <c:f>Plan1!$B$2:$B$10</c:f>
              <c:numCache>
                <c:formatCode>General</c:formatCode>
                <c:ptCount val="9"/>
                <c:pt idx="0">
                  <c:v>23</c:v>
                </c:pt>
                <c:pt idx="1">
                  <c:v>47</c:v>
                </c:pt>
                <c:pt idx="2">
                  <c:v>65</c:v>
                </c:pt>
                <c:pt idx="3">
                  <c:v>121</c:v>
                </c:pt>
                <c:pt idx="4">
                  <c:v>74</c:v>
                </c:pt>
                <c:pt idx="5">
                  <c:v>89</c:v>
                </c:pt>
                <c:pt idx="6">
                  <c:v>81</c:v>
                </c:pt>
                <c:pt idx="7">
                  <c:v>81</c:v>
                </c:pt>
                <c:pt idx="8">
                  <c:v>101</c:v>
                </c:pt>
              </c:numCache>
            </c:numRef>
          </c:val>
        </c:ser>
        <c:ser>
          <c:idx val="1"/>
          <c:order val="1"/>
          <c:tx>
            <c:strRef>
              <c:f>Plan1!$C$1</c:f>
              <c:strCache>
                <c:ptCount val="1"/>
                <c:pt idx="0">
                  <c:v>Total de anúncios que focam a mulher</c:v>
                </c:pt>
              </c:strCache>
            </c:strRef>
          </c:tx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8 (34%)</a:t>
                    </a:r>
                  </a:p>
                </c:rich>
              </c:tx>
              <c:showVal val="1"/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17(36%)</a:t>
                    </a:r>
                  </a:p>
                </c:rich>
              </c:tx>
              <c:showVal val="1"/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21(32%)</a:t>
                    </a:r>
                  </a:p>
                </c:rich>
              </c:tx>
              <c:showVal val="1"/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57(47%)</a:t>
                    </a:r>
                  </a:p>
                </c:rich>
              </c:tx>
              <c:showVal val="1"/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25(33%)</a:t>
                    </a:r>
                  </a:p>
                </c:rich>
              </c:tx>
              <c:showVal val="1"/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33(37%)</a:t>
                    </a:r>
                  </a:p>
                </c:rich>
              </c:tx>
              <c:showVal val="1"/>
            </c:dLbl>
            <c:dLbl>
              <c:idx val="6"/>
              <c:tx>
                <c:rich>
                  <a:bodyPr/>
                  <a:lstStyle/>
                  <a:p>
                    <a:r>
                      <a:rPr lang="en-US"/>
                      <a:t>24(29%)</a:t>
                    </a:r>
                  </a:p>
                </c:rich>
              </c:tx>
              <c:showVal val="1"/>
            </c:dLbl>
            <c:dLbl>
              <c:idx val="7"/>
              <c:tx>
                <c:rich>
                  <a:bodyPr/>
                  <a:lstStyle/>
                  <a:p>
                    <a:r>
                      <a:rPr lang="en-US"/>
                      <a:t>27(33%)</a:t>
                    </a:r>
                  </a:p>
                </c:rich>
              </c:tx>
              <c:showVal val="1"/>
            </c:dLbl>
            <c:dLbl>
              <c:idx val="8"/>
              <c:tx>
                <c:rich>
                  <a:bodyPr/>
                  <a:lstStyle/>
                  <a:p>
                    <a:r>
                      <a:rPr lang="en-US"/>
                      <a:t>44(43%)</a:t>
                    </a:r>
                  </a:p>
                </c:rich>
              </c:tx>
              <c:showVal val="1"/>
            </c:dLbl>
            <c:showVal val="1"/>
          </c:dLbls>
          <c:cat>
            <c:strRef>
              <c:f>Plan1!$A$2:$A$10</c:f>
              <c:strCache>
                <c:ptCount val="9"/>
                <c:pt idx="0">
                  <c:v>Janeiro</c:v>
                </c:pt>
                <c:pt idx="1">
                  <c:v>Fevereiro</c:v>
                </c:pt>
                <c:pt idx="2">
                  <c:v>Março</c:v>
                </c:pt>
                <c:pt idx="3">
                  <c:v>Abril</c:v>
                </c:pt>
                <c:pt idx="4">
                  <c:v>Maio</c:v>
                </c:pt>
                <c:pt idx="5">
                  <c:v>Junho</c:v>
                </c:pt>
                <c:pt idx="6">
                  <c:v>Julho</c:v>
                </c:pt>
                <c:pt idx="7">
                  <c:v>Agosto</c:v>
                </c:pt>
                <c:pt idx="8">
                  <c:v>Setembro</c:v>
                </c:pt>
              </c:strCache>
            </c:strRef>
          </c:cat>
          <c:val>
            <c:numRef>
              <c:f>Plan1!$C$2:$C$10</c:f>
              <c:numCache>
                <c:formatCode>General</c:formatCode>
                <c:ptCount val="9"/>
                <c:pt idx="0">
                  <c:v>8</c:v>
                </c:pt>
                <c:pt idx="1">
                  <c:v>17</c:v>
                </c:pt>
                <c:pt idx="2">
                  <c:v>21</c:v>
                </c:pt>
                <c:pt idx="3">
                  <c:v>57</c:v>
                </c:pt>
                <c:pt idx="4">
                  <c:v>25</c:v>
                </c:pt>
                <c:pt idx="5">
                  <c:v>33</c:v>
                </c:pt>
                <c:pt idx="6">
                  <c:v>24</c:v>
                </c:pt>
                <c:pt idx="7">
                  <c:v>27</c:v>
                </c:pt>
                <c:pt idx="8">
                  <c:v>44</c:v>
                </c:pt>
              </c:numCache>
            </c:numRef>
          </c:val>
        </c:ser>
        <c:dLbls>
          <c:showVal val="1"/>
        </c:dLbls>
        <c:gapWidth val="75"/>
        <c:axId val="52819072"/>
        <c:axId val="52820608"/>
      </c:barChart>
      <c:catAx>
        <c:axId val="52819072"/>
        <c:scaling>
          <c:orientation val="minMax"/>
        </c:scaling>
        <c:axPos val="b"/>
        <c:majorTickMark val="none"/>
        <c:tickLblPos val="nextTo"/>
        <c:crossAx val="52820608"/>
        <c:crosses val="autoZero"/>
        <c:auto val="1"/>
        <c:lblAlgn val="ctr"/>
        <c:lblOffset val="100"/>
      </c:catAx>
      <c:valAx>
        <c:axId val="52820608"/>
        <c:scaling>
          <c:orientation val="minMax"/>
        </c:scaling>
        <c:axPos val="l"/>
        <c:numFmt formatCode="General" sourceLinked="1"/>
        <c:majorTickMark val="none"/>
        <c:tickLblPos val="none"/>
        <c:crossAx val="52819072"/>
        <c:crosses val="autoZero"/>
        <c:crossBetween val="between"/>
      </c:valAx>
    </c:plotArea>
    <c:legend>
      <c:legendPos val="b"/>
    </c:legend>
    <c:plotVisOnly val="1"/>
    <c:dispBlanksAs val="gap"/>
  </c:chart>
  <c:spPr>
    <a:ln>
      <a:noFill/>
    </a:ln>
  </c:spPr>
  <c:externalData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pt-BR"/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5.5063913470993132E-2"/>
          <c:y val="7.333333333333375E-2"/>
          <c:w val="0.91347099311701052"/>
          <c:h val="0.68046981627296588"/>
        </c:manualLayout>
      </c:layout>
      <c:barChart>
        <c:barDir val="col"/>
        <c:grouping val="clustered"/>
        <c:ser>
          <c:idx val="0"/>
          <c:order val="0"/>
          <c:tx>
            <c:strRef>
              <c:f>Plan1!$B$1</c:f>
              <c:strCache>
                <c:ptCount val="1"/>
                <c:pt idx="0">
                  <c:v>Meio corpo</c:v>
                </c:pt>
              </c:strCache>
            </c:strRef>
          </c:tx>
          <c:cat>
            <c:numRef>
              <c:f>Plan1!$A$2</c:f>
              <c:numCache>
                <c:formatCode>General</c:formatCode>
                <c:ptCount val="1"/>
              </c:numCache>
            </c:numRef>
          </c:cat>
          <c:val>
            <c:numRef>
              <c:f>Plan1!$B$2</c:f>
              <c:numCache>
                <c:formatCode>0%</c:formatCode>
                <c:ptCount val="1"/>
                <c:pt idx="0">
                  <c:v>0.68480000000000063</c:v>
                </c:pt>
              </c:numCache>
            </c:numRef>
          </c:val>
        </c:ser>
        <c:ser>
          <c:idx val="1"/>
          <c:order val="1"/>
          <c:tx>
            <c:strRef>
              <c:f>Plan1!$C$1</c:f>
              <c:strCache>
                <c:ptCount val="1"/>
                <c:pt idx="0">
                  <c:v>Corpo todo</c:v>
                </c:pt>
              </c:strCache>
            </c:strRef>
          </c:tx>
          <c:cat>
            <c:numRef>
              <c:f>Plan1!$A$2</c:f>
              <c:numCache>
                <c:formatCode>General</c:formatCode>
                <c:ptCount val="1"/>
              </c:numCache>
            </c:numRef>
          </c:cat>
          <c:val>
            <c:numRef>
              <c:f>Plan1!$C$2</c:f>
              <c:numCache>
                <c:formatCode>0%</c:formatCode>
                <c:ptCount val="1"/>
                <c:pt idx="0">
                  <c:v>0.19</c:v>
                </c:pt>
              </c:numCache>
            </c:numRef>
          </c:val>
        </c:ser>
        <c:ser>
          <c:idx val="2"/>
          <c:order val="2"/>
          <c:tx>
            <c:strRef>
              <c:f>Plan1!$D$1</c:f>
              <c:strCache>
                <c:ptCount val="1"/>
                <c:pt idx="0">
                  <c:v>Rosto</c:v>
                </c:pt>
              </c:strCache>
            </c:strRef>
          </c:tx>
          <c:cat>
            <c:numRef>
              <c:f>Plan1!$A$2</c:f>
              <c:numCache>
                <c:formatCode>General</c:formatCode>
                <c:ptCount val="1"/>
              </c:numCache>
            </c:numRef>
          </c:cat>
          <c:val>
            <c:numRef>
              <c:f>Plan1!$D$2</c:f>
              <c:numCache>
                <c:formatCode>0%</c:formatCode>
                <c:ptCount val="1"/>
                <c:pt idx="0">
                  <c:v>0.12000000000000002</c:v>
                </c:pt>
              </c:numCache>
            </c:numRef>
          </c:val>
        </c:ser>
        <c:dLbls>
          <c:showVal val="1"/>
        </c:dLbls>
        <c:gapWidth val="75"/>
        <c:axId val="52896512"/>
        <c:axId val="52898048"/>
      </c:barChart>
      <c:catAx>
        <c:axId val="52896512"/>
        <c:scaling>
          <c:orientation val="minMax"/>
        </c:scaling>
        <c:axPos val="b"/>
        <c:numFmt formatCode="General" sourceLinked="1"/>
        <c:majorTickMark val="none"/>
        <c:tickLblPos val="nextTo"/>
        <c:crossAx val="52898048"/>
        <c:crosses val="autoZero"/>
        <c:auto val="1"/>
        <c:lblAlgn val="ctr"/>
        <c:lblOffset val="100"/>
      </c:catAx>
      <c:valAx>
        <c:axId val="52898048"/>
        <c:scaling>
          <c:orientation val="minMax"/>
        </c:scaling>
        <c:axPos val="l"/>
        <c:numFmt formatCode="0%" sourceLinked="1"/>
        <c:majorTickMark val="none"/>
        <c:tickLblPos val="none"/>
        <c:crossAx val="52896512"/>
        <c:crosses val="autoZero"/>
        <c:crossBetween val="between"/>
      </c:valAx>
    </c:plotArea>
    <c:legend>
      <c:legendPos val="b"/>
    </c:legend>
    <c:plotVisOnly val="1"/>
    <c:dispBlanksAs val="gap"/>
  </c:chart>
  <c:spPr>
    <a:ln>
      <a:noFill/>
    </a:ln>
  </c:spPr>
  <c:externalData r:id="rId2"/>
</c:chartSpace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Escritório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Escritório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Escritório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Escritório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Escritório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Escritório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207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Brunna Mariano</dc:creator>
  <cp:lastModifiedBy>Brunna Mariano</cp:lastModifiedBy>
  <cp:revision>1</cp:revision>
  <dcterms:created xsi:type="dcterms:W3CDTF">2015-12-08T14:29:00Z</dcterms:created>
  <dcterms:modified xsi:type="dcterms:W3CDTF">2015-12-08T15:00:00Z</dcterms:modified>
</cp:coreProperties>
</file>